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960F" w14:textId="62D5B52D" w:rsidR="00A478F8" w:rsidRPr="00860ADB" w:rsidRDefault="00A478F8" w:rsidP="00A478F8">
      <w:pPr>
        <w:suppressAutoHyphens/>
        <w:ind w:left="3686"/>
        <w:jc w:val="both"/>
        <w:rPr>
          <w:rFonts w:ascii="Arial" w:eastAsia="Lucida Sans Unicode" w:hAnsi="Arial" w:cs="Arial"/>
          <w:sz w:val="22"/>
          <w:szCs w:val="22"/>
          <w:lang w:eastAsia="ar-SA"/>
        </w:rPr>
      </w:pP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Załącznik nr </w:t>
      </w:r>
      <w:r>
        <w:rPr>
          <w:rFonts w:ascii="Arial" w:eastAsia="Lucida Sans Unicode" w:hAnsi="Arial" w:cs="Arial"/>
          <w:sz w:val="22"/>
          <w:szCs w:val="22"/>
          <w:lang w:eastAsia="ar-SA"/>
        </w:rPr>
        <w:t>3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 do Zarządzenia</w:t>
      </w:r>
      <w:r>
        <w:rPr>
          <w:rFonts w:ascii="Arial" w:eastAsia="Lucida Sans Unicode" w:hAnsi="Arial" w:cs="Arial"/>
          <w:sz w:val="22"/>
          <w:szCs w:val="22"/>
          <w:lang w:eastAsia="ar-SA"/>
        </w:rPr>
        <w:t xml:space="preserve"> nr ROiSP.0050.15.2026 Burmistrza Gminy i Miasta Nowe Skalmierzyce 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z dnia </w:t>
      </w:r>
      <w:r>
        <w:rPr>
          <w:rFonts w:ascii="Arial" w:eastAsia="Lucida Sans Unicode" w:hAnsi="Arial" w:cs="Arial"/>
          <w:sz w:val="22"/>
          <w:szCs w:val="22"/>
          <w:lang w:eastAsia="ar-SA"/>
        </w:rPr>
        <w:br/>
        <w:t>23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  <w:lang w:eastAsia="ar-SA"/>
        </w:rPr>
        <w:t>6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 r.</w:t>
      </w:r>
    </w:p>
    <w:p w14:paraId="4B53A2C9" w14:textId="40C5D249" w:rsidR="00901259" w:rsidRPr="0015523C" w:rsidRDefault="00901259">
      <w:pPr>
        <w:pStyle w:val="Teksttreci0"/>
        <w:spacing w:after="480" w:line="240" w:lineRule="auto"/>
        <w:ind w:left="5860" w:right="140"/>
        <w:jc w:val="right"/>
        <w:rPr>
          <w:rFonts w:ascii="Arial" w:hAnsi="Arial" w:cs="Arial"/>
        </w:rPr>
      </w:pPr>
    </w:p>
    <w:p w14:paraId="3EAC1708" w14:textId="77777777" w:rsidR="00A478F8" w:rsidRPr="0015523C" w:rsidRDefault="00A478F8" w:rsidP="00A478F8">
      <w:pPr>
        <w:pStyle w:val="Nagwek10"/>
        <w:keepNext/>
        <w:keepLines/>
        <w:spacing w:after="240"/>
        <w:rPr>
          <w:rFonts w:ascii="Arial" w:hAnsi="Arial" w:cs="Arial"/>
        </w:rPr>
      </w:pPr>
      <w:bookmarkStart w:id="0" w:name="bookmark0"/>
      <w:r w:rsidRPr="0015523C">
        <w:rPr>
          <w:rStyle w:val="Nagwek1"/>
          <w:rFonts w:ascii="Arial" w:hAnsi="Arial" w:cs="Arial"/>
          <w:b/>
          <w:bCs/>
          <w:u w:val="none"/>
        </w:rPr>
        <w:t>REGULAMIN PRACY KOMISJI KONKURSOWEJ</w:t>
      </w:r>
      <w:bookmarkEnd w:id="0"/>
    </w:p>
    <w:p w14:paraId="6AFC6C2A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1"/>
        </w:numPr>
        <w:spacing w:after="240"/>
        <w:ind w:left="4420"/>
        <w:jc w:val="left"/>
        <w:rPr>
          <w:rFonts w:ascii="Arial" w:hAnsi="Arial" w:cs="Arial"/>
        </w:rPr>
      </w:pPr>
      <w:bookmarkStart w:id="1" w:name="bookmark2"/>
      <w:bookmarkEnd w:id="1"/>
    </w:p>
    <w:p w14:paraId="70CE746D" w14:textId="77777777" w:rsidR="00A478F8" w:rsidRPr="0015523C" w:rsidRDefault="00A478F8" w:rsidP="00A478F8">
      <w:pPr>
        <w:pStyle w:val="Teksttreci30"/>
        <w:rPr>
          <w:rFonts w:ascii="Arial" w:hAnsi="Arial" w:cs="Arial"/>
          <w:sz w:val="22"/>
          <w:szCs w:val="22"/>
        </w:rPr>
      </w:pPr>
      <w:r w:rsidRPr="0015523C">
        <w:rPr>
          <w:rStyle w:val="Teksttreci"/>
          <w:rFonts w:ascii="Arial" w:hAnsi="Arial" w:cs="Arial"/>
        </w:rPr>
        <w:t xml:space="preserve">Komisja Konkursowa, zwana dalej „Komisją”, powołana jest w celu oceny złożonych ofert na wybór realizatora </w:t>
      </w:r>
      <w:r w:rsidRPr="0015523C">
        <w:rPr>
          <w:rFonts w:ascii="Arial" w:hAnsi="Arial" w:cs="Arial"/>
          <w:sz w:val="22"/>
          <w:szCs w:val="22"/>
        </w:rPr>
        <w:t>„Programu profilaktyki i wczesnego wykrywania osteoporozy wśród mieszkańców Gminy Nowe Skalmierzyce na lata 2026 - 2028”</w:t>
      </w:r>
      <w:r w:rsidRPr="0015523C">
        <w:rPr>
          <w:rStyle w:val="Teksttreci"/>
          <w:rFonts w:ascii="Arial" w:hAnsi="Arial" w:cs="Arial"/>
        </w:rPr>
        <w:t>,. zwanego dalej „Programem”.</w:t>
      </w:r>
    </w:p>
    <w:p w14:paraId="3B556C77" w14:textId="77777777" w:rsidR="00A478F8" w:rsidRDefault="00A478F8" w:rsidP="00A478F8">
      <w:pPr>
        <w:pStyle w:val="Teksttreci0"/>
        <w:numPr>
          <w:ilvl w:val="0"/>
          <w:numId w:val="2"/>
        </w:numPr>
        <w:tabs>
          <w:tab w:val="left" w:pos="339"/>
        </w:tabs>
        <w:spacing w:after="240"/>
        <w:ind w:left="300" w:hanging="300"/>
        <w:jc w:val="both"/>
        <w:rPr>
          <w:rStyle w:val="Teksttreci"/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Komisja dokonuje oceny złożonych ofert i przedstawia swoje wnioski </w:t>
      </w:r>
      <w:r>
        <w:rPr>
          <w:rStyle w:val="Teksttreci"/>
          <w:rFonts w:ascii="Arial" w:hAnsi="Arial" w:cs="Arial"/>
        </w:rPr>
        <w:t xml:space="preserve">Burmistrzowi Gminy </w:t>
      </w:r>
      <w:r>
        <w:rPr>
          <w:rStyle w:val="Teksttreci"/>
          <w:rFonts w:ascii="Arial" w:hAnsi="Arial" w:cs="Arial"/>
        </w:rPr>
        <w:br/>
        <w:t>i Miasta Nowe Skalmierzyce.</w:t>
      </w:r>
    </w:p>
    <w:p w14:paraId="572ED63D" w14:textId="67A3EA14" w:rsidR="00A478F8" w:rsidRPr="00A478F8" w:rsidRDefault="00A478F8" w:rsidP="00A478F8">
      <w:pPr>
        <w:pStyle w:val="Teksttreci0"/>
        <w:numPr>
          <w:ilvl w:val="0"/>
          <w:numId w:val="2"/>
        </w:numPr>
        <w:tabs>
          <w:tab w:val="left" w:pos="339"/>
        </w:tabs>
        <w:spacing w:after="240"/>
        <w:ind w:left="300" w:hanging="300"/>
        <w:jc w:val="both"/>
        <w:rPr>
          <w:rFonts w:ascii="Arial" w:hAnsi="Arial" w:cs="Arial"/>
          <w:color w:val="auto"/>
        </w:rPr>
      </w:pPr>
      <w:r w:rsidRPr="00A478F8">
        <w:rPr>
          <w:rFonts w:ascii="Arial" w:hAnsi="Arial" w:cs="Arial"/>
          <w:color w:val="auto"/>
        </w:rPr>
        <w:t>Członkowie Komisji są upoważnieni do przetwarzania danych osobowych zawartyc</w:t>
      </w:r>
      <w:r>
        <w:rPr>
          <w:rFonts w:ascii="Arial" w:hAnsi="Arial" w:cs="Arial"/>
          <w:color w:val="auto"/>
        </w:rPr>
        <w:t xml:space="preserve">h </w:t>
      </w:r>
      <w:r>
        <w:rPr>
          <w:rFonts w:ascii="Arial" w:hAnsi="Arial" w:cs="Arial"/>
          <w:color w:val="auto"/>
        </w:rPr>
        <w:br/>
      </w:r>
      <w:r w:rsidRPr="00A478F8">
        <w:rPr>
          <w:rFonts w:ascii="Arial" w:hAnsi="Arial" w:cs="Arial"/>
          <w:color w:val="auto"/>
        </w:rPr>
        <w:t>w złożonych ofertach w celach i zakresie związanym z wykonywaniem czynności wynikających z niniejszego Regulaminu.</w:t>
      </w:r>
    </w:p>
    <w:p w14:paraId="3ADDC72A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1"/>
        </w:numPr>
        <w:rPr>
          <w:rFonts w:ascii="Arial" w:hAnsi="Arial" w:cs="Arial"/>
        </w:rPr>
      </w:pPr>
      <w:bookmarkStart w:id="2" w:name="bookmark4"/>
      <w:bookmarkEnd w:id="2"/>
    </w:p>
    <w:p w14:paraId="692E6A66" w14:textId="77777777" w:rsidR="00A478F8" w:rsidRPr="0015523C" w:rsidRDefault="00A478F8" w:rsidP="00A478F8">
      <w:pPr>
        <w:pStyle w:val="Teksttreci0"/>
        <w:numPr>
          <w:ilvl w:val="0"/>
          <w:numId w:val="3"/>
        </w:numPr>
        <w:tabs>
          <w:tab w:val="left" w:pos="334"/>
        </w:tabs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Przewodnicząc</w:t>
      </w:r>
      <w:r>
        <w:rPr>
          <w:rStyle w:val="Teksttreci"/>
          <w:rFonts w:ascii="Arial" w:hAnsi="Arial" w:cs="Arial"/>
        </w:rPr>
        <w:t>y</w:t>
      </w:r>
      <w:r w:rsidRPr="0015523C">
        <w:rPr>
          <w:rStyle w:val="Teksttreci"/>
          <w:rFonts w:ascii="Arial" w:hAnsi="Arial" w:cs="Arial"/>
        </w:rPr>
        <w:t xml:space="preserve"> Komisji wyznacza spośród członków Komisji Sekretarza Komisji.</w:t>
      </w:r>
    </w:p>
    <w:p w14:paraId="34B4CA95" w14:textId="77777777" w:rsidR="00A478F8" w:rsidRPr="0015523C" w:rsidRDefault="00A478F8" w:rsidP="00A478F8">
      <w:pPr>
        <w:pStyle w:val="Teksttreci0"/>
        <w:numPr>
          <w:ilvl w:val="0"/>
          <w:numId w:val="3"/>
        </w:numPr>
        <w:tabs>
          <w:tab w:val="left" w:pos="339"/>
        </w:tabs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Do obowiązków Sekretarza Komisji należy sporządzenie protokołu z posiedzenia Komisji.</w:t>
      </w:r>
    </w:p>
    <w:p w14:paraId="16CC95D1" w14:textId="77777777" w:rsidR="00A478F8" w:rsidRPr="00DD65D1" w:rsidRDefault="00A478F8" w:rsidP="00A478F8">
      <w:pPr>
        <w:pStyle w:val="Nagwek10"/>
        <w:keepNext/>
        <w:keepLines/>
        <w:numPr>
          <w:ilvl w:val="0"/>
          <w:numId w:val="1"/>
        </w:numPr>
        <w:spacing w:after="240"/>
        <w:ind w:left="4420"/>
        <w:jc w:val="left"/>
        <w:rPr>
          <w:rFonts w:ascii="Arial" w:hAnsi="Arial" w:cs="Arial"/>
        </w:rPr>
      </w:pPr>
      <w:bookmarkStart w:id="3" w:name="bookmark6"/>
      <w:bookmarkStart w:id="4" w:name="bookmark8"/>
      <w:bookmarkEnd w:id="3"/>
      <w:bookmarkEnd w:id="4"/>
    </w:p>
    <w:p w14:paraId="419C24AE" w14:textId="77777777" w:rsidR="00A478F8" w:rsidRPr="0015523C" w:rsidRDefault="00A478F8" w:rsidP="00A478F8">
      <w:pPr>
        <w:pStyle w:val="Teksttreci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Komisja przystępując do oceny ofert, dokonuje kolejno następujących czynności:</w:t>
      </w:r>
    </w:p>
    <w:p w14:paraId="1E37F211" w14:textId="77777777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349"/>
        </w:tabs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stwierdza prawidłowość ogłoszenia konkursu oraz podaje liczbę otrzymanych ofert;</w:t>
      </w:r>
    </w:p>
    <w:p w14:paraId="634E3B42" w14:textId="77777777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354"/>
        </w:tabs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informuje o danych oferentów oraz proponowanych kosztach brutto:</w:t>
      </w:r>
    </w:p>
    <w:p w14:paraId="4B443EF3" w14:textId="77777777" w:rsidR="00A478F8" w:rsidRDefault="00A478F8" w:rsidP="00A478F8">
      <w:pPr>
        <w:pStyle w:val="Teksttreci0"/>
        <w:numPr>
          <w:ilvl w:val="0"/>
          <w:numId w:val="5"/>
        </w:numPr>
        <w:tabs>
          <w:tab w:val="left" w:pos="660"/>
        </w:tabs>
        <w:ind w:firstLine="300"/>
        <w:rPr>
          <w:rStyle w:val="Teksttreci"/>
          <w:rFonts w:ascii="Arial" w:hAnsi="Arial" w:cs="Arial"/>
        </w:rPr>
      </w:pPr>
      <w:r>
        <w:rPr>
          <w:rStyle w:val="Teksttreci"/>
          <w:rFonts w:ascii="Arial" w:hAnsi="Arial" w:cs="Arial"/>
        </w:rPr>
        <w:t>szkolenia personelu medycznego,</w:t>
      </w:r>
    </w:p>
    <w:p w14:paraId="142FC04E" w14:textId="77777777" w:rsidR="00A478F8" w:rsidRDefault="00A478F8" w:rsidP="00A478F8">
      <w:pPr>
        <w:pStyle w:val="Teksttreci0"/>
        <w:numPr>
          <w:ilvl w:val="0"/>
          <w:numId w:val="5"/>
        </w:numPr>
        <w:tabs>
          <w:tab w:val="left" w:pos="660"/>
        </w:tabs>
        <w:ind w:firstLine="300"/>
        <w:rPr>
          <w:rStyle w:val="Teksttreci"/>
          <w:rFonts w:ascii="Arial" w:hAnsi="Arial" w:cs="Arial"/>
        </w:rPr>
      </w:pPr>
      <w:r>
        <w:rPr>
          <w:rStyle w:val="Teksttreci"/>
          <w:rFonts w:ascii="Arial" w:hAnsi="Arial" w:cs="Arial"/>
        </w:rPr>
        <w:t xml:space="preserve">działań </w:t>
      </w:r>
      <w:proofErr w:type="spellStart"/>
      <w:r>
        <w:rPr>
          <w:rStyle w:val="Teksttreci"/>
          <w:rFonts w:ascii="Arial" w:hAnsi="Arial" w:cs="Arial"/>
        </w:rPr>
        <w:t>informacyjno</w:t>
      </w:r>
      <w:proofErr w:type="spellEnd"/>
      <w:r>
        <w:rPr>
          <w:rStyle w:val="Teksttreci"/>
          <w:rFonts w:ascii="Arial" w:hAnsi="Arial" w:cs="Arial"/>
        </w:rPr>
        <w:t xml:space="preserve"> – edukacyjnych, </w:t>
      </w:r>
    </w:p>
    <w:p w14:paraId="06F12384" w14:textId="77777777" w:rsidR="00A478F8" w:rsidRPr="0015523C" w:rsidRDefault="00A478F8" w:rsidP="00A478F8">
      <w:pPr>
        <w:pStyle w:val="Teksttreci0"/>
        <w:numPr>
          <w:ilvl w:val="0"/>
          <w:numId w:val="5"/>
        </w:numPr>
        <w:tabs>
          <w:tab w:val="left" w:pos="660"/>
        </w:tabs>
        <w:ind w:firstLine="30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oceny ryzyka złamań </w:t>
      </w:r>
      <w:proofErr w:type="spellStart"/>
      <w:r w:rsidRPr="0015523C">
        <w:rPr>
          <w:rStyle w:val="Teksttreci"/>
          <w:rFonts w:ascii="Arial" w:hAnsi="Arial" w:cs="Arial"/>
        </w:rPr>
        <w:t>osteoporotycznego</w:t>
      </w:r>
      <w:proofErr w:type="spellEnd"/>
      <w:r w:rsidRPr="0015523C">
        <w:rPr>
          <w:rStyle w:val="Teksttreci"/>
          <w:rFonts w:ascii="Arial" w:hAnsi="Arial" w:cs="Arial"/>
        </w:rPr>
        <w:t xml:space="preserve"> na podstawie metody FRAX,</w:t>
      </w:r>
    </w:p>
    <w:p w14:paraId="6BEC34C0" w14:textId="77777777" w:rsidR="00A478F8" w:rsidRPr="0015523C" w:rsidRDefault="00A478F8" w:rsidP="00A478F8">
      <w:pPr>
        <w:pStyle w:val="Teksttreci0"/>
        <w:numPr>
          <w:ilvl w:val="0"/>
          <w:numId w:val="5"/>
        </w:numPr>
        <w:tabs>
          <w:tab w:val="left" w:pos="660"/>
        </w:tabs>
        <w:ind w:firstLine="30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badania densytometrycznego (pomiar BMD za pomocą DXA),</w:t>
      </w:r>
    </w:p>
    <w:p w14:paraId="5FB0939F" w14:textId="77777777" w:rsidR="00A478F8" w:rsidRPr="0015523C" w:rsidRDefault="00A478F8" w:rsidP="00A478F8">
      <w:pPr>
        <w:pStyle w:val="Teksttreci0"/>
        <w:numPr>
          <w:ilvl w:val="0"/>
          <w:numId w:val="5"/>
        </w:numPr>
        <w:tabs>
          <w:tab w:val="left" w:pos="660"/>
        </w:tabs>
        <w:spacing w:line="276" w:lineRule="auto"/>
        <w:ind w:left="660" w:hanging="36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przeprowadzenia lekarskiej wizyty podsumowującej obejmującej ponowne wykonanie oceny ryzyka złamania z użyciem narzędzia FRAX PL z uwzględnieniem wyniku DXA, omówienie wyników badania DXA, zalecenia dotyczące dalszego postępowania,</w:t>
      </w:r>
    </w:p>
    <w:p w14:paraId="141C2DEE" w14:textId="77777777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358"/>
        </w:tabs>
        <w:spacing w:line="276" w:lineRule="auto"/>
        <w:ind w:left="300" w:hanging="3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stwierdza, czy oferty spełniają warunki określone w ogłoszeniu o konkursie</w:t>
      </w:r>
      <w:r>
        <w:rPr>
          <w:rStyle w:val="Teksttreci"/>
          <w:rFonts w:ascii="Arial" w:hAnsi="Arial" w:cs="Arial"/>
        </w:rPr>
        <w:t>,</w:t>
      </w:r>
      <w:r w:rsidRPr="0015523C">
        <w:rPr>
          <w:rStyle w:val="Teksttreci"/>
          <w:rFonts w:ascii="Arial" w:hAnsi="Arial" w:cs="Arial"/>
        </w:rPr>
        <w:t xml:space="preserve"> </w:t>
      </w:r>
      <w:r w:rsidRPr="0015523C">
        <w:rPr>
          <w:rStyle w:val="Teksttreci"/>
          <w:rFonts w:ascii="Arial" w:hAnsi="Arial" w:cs="Arial"/>
          <w:b/>
          <w:bCs/>
        </w:rPr>
        <w:t>oferty nie spełniające warunków lub zgłoszone po terminie zostają odrzucone;</w:t>
      </w:r>
    </w:p>
    <w:p w14:paraId="181ABDE8" w14:textId="77777777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363"/>
        </w:tabs>
        <w:ind w:left="300" w:hanging="3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ogłasza oferentom, które z ofert spełniają warunki określone w ogłoszeniu o konkursie, a które zostały odrzucone;</w:t>
      </w:r>
    </w:p>
    <w:p w14:paraId="54F43AD5" w14:textId="77777777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358"/>
        </w:tabs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przyjmuje do protokołu wyjaśnienia i oświadczenia zgłoszone przez oferentów;</w:t>
      </w:r>
    </w:p>
    <w:p w14:paraId="3881D725" w14:textId="77777777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284"/>
        </w:tabs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ocenia oferty spełniające warunki konkursu, zgodnie z kryteriami, o których mowa w </w:t>
      </w:r>
      <w:r>
        <w:rPr>
          <w:rStyle w:val="Teksttreci"/>
          <w:rFonts w:ascii="Arial" w:hAnsi="Arial" w:cs="Arial"/>
        </w:rPr>
        <w:t>ogłoszeniu,</w:t>
      </w:r>
    </w:p>
    <w:p w14:paraId="68277125" w14:textId="13F41A22" w:rsidR="00A478F8" w:rsidRPr="0015523C" w:rsidRDefault="00A478F8" w:rsidP="00A478F8">
      <w:pPr>
        <w:pStyle w:val="Teksttreci0"/>
        <w:numPr>
          <w:ilvl w:val="0"/>
          <w:numId w:val="4"/>
        </w:numPr>
        <w:tabs>
          <w:tab w:val="left" w:pos="400"/>
        </w:tabs>
        <w:spacing w:after="240"/>
        <w:ind w:left="300" w:hanging="3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rekomenduje </w:t>
      </w:r>
      <w:r>
        <w:rPr>
          <w:rStyle w:val="Teksttreci"/>
          <w:rFonts w:ascii="Arial" w:hAnsi="Arial" w:cs="Arial"/>
        </w:rPr>
        <w:t>Burmistrzowi Gminy i Miasta Nowe Skalmierzyce</w:t>
      </w:r>
      <w:r w:rsidRPr="0015523C">
        <w:rPr>
          <w:rStyle w:val="Teksttreci"/>
          <w:rFonts w:ascii="Arial" w:hAnsi="Arial" w:cs="Arial"/>
        </w:rPr>
        <w:t xml:space="preserve"> wybór realizatora Programu spośród ofert spełniających wymogi konkursowe. </w:t>
      </w:r>
      <w:r w:rsidRPr="0015523C">
        <w:rPr>
          <w:rStyle w:val="Teksttreci"/>
          <w:rFonts w:ascii="Arial" w:hAnsi="Arial" w:cs="Arial"/>
          <w:b/>
          <w:bCs/>
        </w:rPr>
        <w:t>Wybrana zostanie oferta, której wartość punktowa  będzie największa.</w:t>
      </w:r>
    </w:p>
    <w:p w14:paraId="4C2C75F4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1"/>
        </w:numPr>
        <w:rPr>
          <w:rFonts w:ascii="Arial" w:hAnsi="Arial" w:cs="Arial"/>
        </w:rPr>
      </w:pPr>
      <w:bookmarkStart w:id="5" w:name="bookmark10"/>
      <w:bookmarkEnd w:id="5"/>
    </w:p>
    <w:p w14:paraId="60B5DF7D" w14:textId="77777777" w:rsidR="00A478F8" w:rsidRPr="0015523C" w:rsidRDefault="00A478F8" w:rsidP="00A478F8">
      <w:pPr>
        <w:pStyle w:val="Teksttreci0"/>
        <w:spacing w:after="24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Komisja Konkursowa działa na posiedzeniach zamkniętych bez udziału oferentów, z wyjątkiem czynności określonych w § </w:t>
      </w:r>
      <w:r>
        <w:rPr>
          <w:rStyle w:val="Teksttreci"/>
          <w:rFonts w:ascii="Arial" w:hAnsi="Arial" w:cs="Arial"/>
        </w:rPr>
        <w:t>3</w:t>
      </w:r>
      <w:r w:rsidRPr="0015523C">
        <w:rPr>
          <w:rStyle w:val="Teksttreci"/>
          <w:rFonts w:ascii="Arial" w:hAnsi="Arial" w:cs="Arial"/>
        </w:rPr>
        <w:t xml:space="preserve"> pkt 1, 2, 4 i 5.</w:t>
      </w:r>
    </w:p>
    <w:p w14:paraId="3C4BB40C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1"/>
        </w:numPr>
        <w:rPr>
          <w:rFonts w:ascii="Arial" w:hAnsi="Arial" w:cs="Arial"/>
        </w:rPr>
      </w:pPr>
      <w:bookmarkStart w:id="6" w:name="bookmark12"/>
      <w:bookmarkEnd w:id="6"/>
    </w:p>
    <w:p w14:paraId="3F4710F1" w14:textId="77777777" w:rsidR="00A478F8" w:rsidRPr="00860ADB" w:rsidRDefault="00A478F8" w:rsidP="00A478F8">
      <w:pPr>
        <w:suppressAutoHyphens/>
        <w:spacing w:before="120" w:after="120" w:line="276" w:lineRule="auto"/>
        <w:jc w:val="both"/>
        <w:rPr>
          <w:rFonts w:ascii="Arial" w:eastAsia="Lucida Sans Unicode" w:hAnsi="Arial" w:cs="Arial"/>
          <w:b/>
          <w:sz w:val="22"/>
          <w:szCs w:val="22"/>
          <w:lang w:eastAsia="ar-SA"/>
        </w:rPr>
      </w:pPr>
      <w:r w:rsidRPr="0015523C">
        <w:rPr>
          <w:rStyle w:val="Teksttreci"/>
          <w:rFonts w:ascii="Arial" w:hAnsi="Arial" w:cs="Arial"/>
        </w:rPr>
        <w:t>Kryteria oceny oferty stosowane przez Komisję Konkursową:</w:t>
      </w:r>
      <w:bookmarkStart w:id="7" w:name="bookmark24"/>
      <w:r w:rsidRPr="00CC7AD4">
        <w:rPr>
          <w:rFonts w:ascii="Arial" w:eastAsia="Lucida Sans Unicode" w:hAnsi="Arial" w:cs="Arial"/>
          <w:b/>
          <w:sz w:val="22"/>
          <w:szCs w:val="22"/>
          <w:lang w:eastAsia="ar-SA"/>
        </w:rPr>
        <w:t xml:space="preserve"> 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64"/>
        <w:gridCol w:w="2721"/>
        <w:gridCol w:w="1256"/>
        <w:gridCol w:w="4798"/>
      </w:tblGrid>
      <w:tr w:rsidR="00A478F8" w:rsidRPr="00860ADB" w14:paraId="733B5FCC" w14:textId="77777777" w:rsidTr="0058721A">
        <w:tc>
          <w:tcPr>
            <w:tcW w:w="864" w:type="dxa"/>
          </w:tcPr>
          <w:p w14:paraId="2461CC90" w14:textId="77777777" w:rsidR="00A478F8" w:rsidRPr="00860ADB" w:rsidRDefault="00A478F8" w:rsidP="0058721A">
            <w:pPr>
              <w:widowControl w:val="0"/>
              <w:suppressAutoHyphens/>
              <w:spacing w:before="240" w:after="240"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  <w:r w:rsidRPr="00860ADB">
              <w:rPr>
                <w:rFonts w:ascii="Arial" w:eastAsia="Lucida Sans Unicode" w:hAnsi="Arial" w:cs="Arial"/>
                <w:b/>
                <w:lang w:eastAsia="ar-SA"/>
              </w:rPr>
              <w:t>Lp.</w:t>
            </w:r>
          </w:p>
        </w:tc>
        <w:tc>
          <w:tcPr>
            <w:tcW w:w="2721" w:type="dxa"/>
          </w:tcPr>
          <w:p w14:paraId="56F17013" w14:textId="77777777" w:rsidR="00A478F8" w:rsidRPr="00860ADB" w:rsidRDefault="00A478F8" w:rsidP="0058721A">
            <w:pPr>
              <w:widowControl w:val="0"/>
              <w:suppressAutoHyphens/>
              <w:spacing w:before="240" w:after="240"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  <w:r w:rsidRPr="00860ADB">
              <w:rPr>
                <w:rFonts w:ascii="Arial" w:eastAsia="Lucida Sans Unicode" w:hAnsi="Arial" w:cs="Arial"/>
                <w:b/>
                <w:lang w:eastAsia="ar-SA"/>
              </w:rPr>
              <w:t>Nazwa kryterium</w:t>
            </w:r>
          </w:p>
        </w:tc>
        <w:tc>
          <w:tcPr>
            <w:tcW w:w="1256" w:type="dxa"/>
          </w:tcPr>
          <w:p w14:paraId="076578D9" w14:textId="77777777" w:rsidR="00A478F8" w:rsidRPr="00860ADB" w:rsidRDefault="00A478F8" w:rsidP="0058721A">
            <w:pPr>
              <w:widowControl w:val="0"/>
              <w:suppressAutoHyphens/>
              <w:spacing w:before="240" w:after="240"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  <w:r w:rsidRPr="00860ADB">
              <w:rPr>
                <w:rFonts w:ascii="Arial" w:eastAsia="Lucida Sans Unicode" w:hAnsi="Arial" w:cs="Arial"/>
                <w:b/>
                <w:lang w:eastAsia="ar-SA"/>
              </w:rPr>
              <w:t>Punktacja</w:t>
            </w:r>
          </w:p>
        </w:tc>
        <w:tc>
          <w:tcPr>
            <w:tcW w:w="4798" w:type="dxa"/>
          </w:tcPr>
          <w:p w14:paraId="5AD9DE8B" w14:textId="77777777" w:rsidR="00A478F8" w:rsidRPr="00860ADB" w:rsidRDefault="00A478F8" w:rsidP="0058721A">
            <w:pPr>
              <w:widowControl w:val="0"/>
              <w:suppressAutoHyphens/>
              <w:spacing w:before="240" w:after="240"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  <w:r w:rsidRPr="00860ADB">
              <w:rPr>
                <w:rFonts w:ascii="Arial" w:eastAsia="Lucida Sans Unicode" w:hAnsi="Arial" w:cs="Arial"/>
                <w:b/>
                <w:lang w:eastAsia="ar-SA"/>
              </w:rPr>
              <w:t>Uwagi</w:t>
            </w:r>
          </w:p>
        </w:tc>
      </w:tr>
      <w:tr w:rsidR="00A478F8" w:rsidRPr="00860ADB" w14:paraId="0E167D97" w14:textId="77777777" w:rsidTr="0058721A">
        <w:tc>
          <w:tcPr>
            <w:tcW w:w="864" w:type="dxa"/>
          </w:tcPr>
          <w:p w14:paraId="47D70521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1.</w:t>
            </w:r>
          </w:p>
        </w:tc>
        <w:tc>
          <w:tcPr>
            <w:tcW w:w="2721" w:type="dxa"/>
          </w:tcPr>
          <w:p w14:paraId="1EEC8BBF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Działania organizacyjne</w:t>
            </w:r>
          </w:p>
        </w:tc>
        <w:tc>
          <w:tcPr>
            <w:tcW w:w="1256" w:type="dxa"/>
          </w:tcPr>
          <w:p w14:paraId="73B9E02C" w14:textId="5BAE4A8D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0-1</w:t>
            </w:r>
            <w:r>
              <w:rPr>
                <w:rFonts w:ascii="Arial" w:eastAsia="Lucida Sans Unicode" w:hAnsi="Arial" w:cs="Arial"/>
                <w:lang w:eastAsia="ar-SA"/>
              </w:rPr>
              <w:t>0</w:t>
            </w:r>
          </w:p>
        </w:tc>
        <w:tc>
          <w:tcPr>
            <w:tcW w:w="4798" w:type="dxa"/>
          </w:tcPr>
          <w:p w14:paraId="3CD9E442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sposób prowadzenia rekrutacji, informowania o Programie, prowadzenia działań informacyjno-edukacyjnych do ogółu populacji osób dorosłych </w:t>
            </w:r>
          </w:p>
        </w:tc>
      </w:tr>
      <w:tr w:rsidR="00A478F8" w:rsidRPr="00860ADB" w14:paraId="4C89DEC1" w14:textId="77777777" w:rsidTr="0058721A">
        <w:tc>
          <w:tcPr>
            <w:tcW w:w="864" w:type="dxa"/>
          </w:tcPr>
          <w:p w14:paraId="0FDCB385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2.</w:t>
            </w:r>
          </w:p>
        </w:tc>
        <w:tc>
          <w:tcPr>
            <w:tcW w:w="2721" w:type="dxa"/>
          </w:tcPr>
          <w:p w14:paraId="20DFA87F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Dostępność do świadczeń zdrowotnych </w:t>
            </w:r>
          </w:p>
        </w:tc>
        <w:tc>
          <w:tcPr>
            <w:tcW w:w="1256" w:type="dxa"/>
          </w:tcPr>
          <w:p w14:paraId="3F4FC5F0" w14:textId="6034BFB5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0-1</w:t>
            </w:r>
            <w:r>
              <w:rPr>
                <w:rFonts w:ascii="Arial" w:eastAsia="Lucida Sans Unicode" w:hAnsi="Arial" w:cs="Arial"/>
                <w:lang w:eastAsia="ar-SA"/>
              </w:rPr>
              <w:t>0</w:t>
            </w:r>
          </w:p>
        </w:tc>
        <w:tc>
          <w:tcPr>
            <w:tcW w:w="4798" w:type="dxa"/>
          </w:tcPr>
          <w:p w14:paraId="72694BB2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udzielanie świadczeń </w:t>
            </w:r>
            <w:r>
              <w:rPr>
                <w:rFonts w:ascii="Arial" w:eastAsia="Lucida Sans Unicode" w:hAnsi="Arial" w:cs="Arial"/>
                <w:lang w:eastAsia="ar-SA"/>
              </w:rPr>
              <w:t>w godzinach popołudniowych lub w</w:t>
            </w:r>
            <w:r w:rsidRPr="00860ADB">
              <w:rPr>
                <w:rFonts w:ascii="Arial" w:eastAsia="Lucida Sans Unicode" w:hAnsi="Arial" w:cs="Arial"/>
                <w:lang w:eastAsia="ar-SA"/>
              </w:rPr>
              <w:t xml:space="preserve"> soboty</w:t>
            </w:r>
            <w:r>
              <w:rPr>
                <w:rFonts w:ascii="Arial" w:eastAsia="Lucida Sans Unicode" w:hAnsi="Arial" w:cs="Arial"/>
                <w:lang w:eastAsia="ar-SA"/>
              </w:rPr>
              <w:t>, liczba dni udzielanych w tygodniu</w:t>
            </w:r>
            <w:r w:rsidRPr="00860ADB">
              <w:rPr>
                <w:rFonts w:ascii="Arial" w:eastAsia="Lucida Sans Unicode" w:hAnsi="Arial" w:cs="Arial"/>
                <w:lang w:eastAsia="ar-SA"/>
              </w:rPr>
              <w:t xml:space="preserve"> </w:t>
            </w:r>
          </w:p>
        </w:tc>
      </w:tr>
      <w:tr w:rsidR="00A478F8" w:rsidRPr="00860ADB" w14:paraId="333E9CE7" w14:textId="77777777" w:rsidTr="0058721A">
        <w:tc>
          <w:tcPr>
            <w:tcW w:w="864" w:type="dxa"/>
          </w:tcPr>
          <w:p w14:paraId="60336BF3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3.</w:t>
            </w:r>
          </w:p>
        </w:tc>
        <w:tc>
          <w:tcPr>
            <w:tcW w:w="2721" w:type="dxa"/>
          </w:tcPr>
          <w:p w14:paraId="2FC14150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Doświadczenie oferenta </w:t>
            </w:r>
            <w:r w:rsidRPr="00860ADB">
              <w:rPr>
                <w:rFonts w:ascii="Arial" w:eastAsia="Lucida Sans Unicode" w:hAnsi="Arial" w:cs="Arial"/>
                <w:lang w:eastAsia="ar-SA"/>
              </w:rPr>
              <w:br/>
              <w:t xml:space="preserve">w zakresie profilaktyki </w:t>
            </w:r>
            <w:r w:rsidRPr="00860ADB">
              <w:rPr>
                <w:rFonts w:ascii="Arial" w:eastAsia="Lucida Sans Unicode" w:hAnsi="Arial" w:cs="Arial"/>
                <w:lang w:eastAsia="ar-SA"/>
              </w:rPr>
              <w:br/>
              <w:t>i wczesnego wykrywania osteoporozy</w:t>
            </w:r>
          </w:p>
        </w:tc>
        <w:tc>
          <w:tcPr>
            <w:tcW w:w="1256" w:type="dxa"/>
          </w:tcPr>
          <w:p w14:paraId="23F37374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0-5</w:t>
            </w:r>
          </w:p>
        </w:tc>
        <w:tc>
          <w:tcPr>
            <w:tcW w:w="4798" w:type="dxa"/>
          </w:tcPr>
          <w:p w14:paraId="4DA0F75E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doświadczenie w realizacji programu polityki zdrowotnej w podobnym zakresie, roczna liczba przeprowadzonych badań densytometrycznych, </w:t>
            </w:r>
          </w:p>
        </w:tc>
      </w:tr>
      <w:tr w:rsidR="00A478F8" w:rsidRPr="00860ADB" w14:paraId="1DCEEAD2" w14:textId="77777777" w:rsidTr="0058721A">
        <w:tc>
          <w:tcPr>
            <w:tcW w:w="864" w:type="dxa"/>
          </w:tcPr>
          <w:p w14:paraId="041615E6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4.</w:t>
            </w:r>
          </w:p>
        </w:tc>
        <w:tc>
          <w:tcPr>
            <w:tcW w:w="2721" w:type="dxa"/>
          </w:tcPr>
          <w:p w14:paraId="5E52D312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Kompetencje i kwalifikacje personelu</w:t>
            </w:r>
          </w:p>
        </w:tc>
        <w:tc>
          <w:tcPr>
            <w:tcW w:w="1256" w:type="dxa"/>
          </w:tcPr>
          <w:p w14:paraId="2A78546C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0-15</w:t>
            </w:r>
          </w:p>
        </w:tc>
        <w:tc>
          <w:tcPr>
            <w:tcW w:w="4798" w:type="dxa"/>
          </w:tcPr>
          <w:p w14:paraId="654B88E0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Dodatkowo premiowane: doświadczenie </w:t>
            </w:r>
            <w:r w:rsidRPr="00860ADB">
              <w:rPr>
                <w:rFonts w:ascii="Arial" w:eastAsia="Lucida Sans Unicode" w:hAnsi="Arial" w:cs="Arial"/>
                <w:lang w:eastAsia="ar-SA"/>
              </w:rPr>
              <w:br/>
              <w:t>w przeprowadzaniu działań edukacyjnych, dysponowanie lekarzem specjalistą w dziedzinie reumatologii,</w:t>
            </w:r>
          </w:p>
        </w:tc>
      </w:tr>
      <w:tr w:rsidR="00A478F8" w:rsidRPr="00860ADB" w14:paraId="65E220A4" w14:textId="77777777" w:rsidTr="0058721A">
        <w:tc>
          <w:tcPr>
            <w:tcW w:w="864" w:type="dxa"/>
          </w:tcPr>
          <w:p w14:paraId="26132DEB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5.</w:t>
            </w:r>
          </w:p>
        </w:tc>
        <w:tc>
          <w:tcPr>
            <w:tcW w:w="2721" w:type="dxa"/>
          </w:tcPr>
          <w:p w14:paraId="48D5499E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Suma kosztów poszczególnych świadczeń w ramach Programu </w:t>
            </w:r>
          </w:p>
        </w:tc>
        <w:tc>
          <w:tcPr>
            <w:tcW w:w="1256" w:type="dxa"/>
          </w:tcPr>
          <w:p w14:paraId="3976038C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</w:t>
            </w:r>
            <w:r>
              <w:rPr>
                <w:rFonts w:ascii="Arial" w:eastAsia="Lucida Sans Unicode" w:hAnsi="Arial" w:cs="Arial"/>
                <w:lang w:eastAsia="ar-SA"/>
              </w:rPr>
              <w:t>50</w:t>
            </w:r>
          </w:p>
        </w:tc>
        <w:tc>
          <w:tcPr>
            <w:tcW w:w="4798" w:type="dxa"/>
          </w:tcPr>
          <w:p w14:paraId="7F72E0D5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W ramach tego kryterium zostanie oceniona suma kosztów poszczególnych świadczeń w ramach Programu.  Maksymalnie można otrzymać </w:t>
            </w:r>
            <w:r>
              <w:rPr>
                <w:rFonts w:ascii="Arial" w:eastAsia="Lucida Sans Unicode" w:hAnsi="Arial" w:cs="Arial"/>
                <w:lang w:eastAsia="ar-SA"/>
              </w:rPr>
              <w:t>5</w:t>
            </w:r>
            <w:r w:rsidRPr="00860ADB">
              <w:rPr>
                <w:rFonts w:ascii="Arial" w:eastAsia="Lucida Sans Unicode" w:hAnsi="Arial" w:cs="Arial"/>
                <w:lang w:eastAsia="ar-SA"/>
              </w:rPr>
              <w:t xml:space="preserve">0 pkt. Liczbę punktów jakie otrzymuje poszczególna oferta w ramach tego kryterium będzie obliczona według wzoru: </w:t>
            </w:r>
          </w:p>
          <w:p w14:paraId="75283673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proofErr w:type="spellStart"/>
            <w:r w:rsidRPr="00860ADB">
              <w:rPr>
                <w:rFonts w:ascii="Arial" w:eastAsia="Lucida Sans Unicode" w:hAnsi="Arial" w:cs="Arial"/>
                <w:lang w:eastAsia="ar-SA"/>
              </w:rPr>
              <w:t>Px</w:t>
            </w:r>
            <w:proofErr w:type="spellEnd"/>
            <w:r w:rsidRPr="00860ADB">
              <w:rPr>
                <w:rFonts w:ascii="Arial" w:eastAsia="Lucida Sans Unicode" w:hAnsi="Arial" w:cs="Arial"/>
                <w:lang w:eastAsia="ar-SA"/>
              </w:rPr>
              <w:t>=(</w:t>
            </w:r>
            <w:proofErr w:type="spellStart"/>
            <w:r w:rsidRPr="00860ADB">
              <w:rPr>
                <w:rFonts w:ascii="Arial" w:eastAsia="Lucida Sans Unicode" w:hAnsi="Arial" w:cs="Arial"/>
                <w:lang w:eastAsia="ar-SA"/>
              </w:rPr>
              <w:t>Cmin</w:t>
            </w:r>
            <w:proofErr w:type="spellEnd"/>
            <w:r w:rsidRPr="00860ADB">
              <w:rPr>
                <w:rFonts w:ascii="Arial" w:eastAsia="Lucida Sans Unicode" w:hAnsi="Arial" w:cs="Arial"/>
                <w:lang w:eastAsia="ar-SA"/>
              </w:rPr>
              <w:t>/</w:t>
            </w:r>
            <w:proofErr w:type="spellStart"/>
            <w:r w:rsidRPr="00860ADB">
              <w:rPr>
                <w:rFonts w:ascii="Arial" w:eastAsia="Lucida Sans Unicode" w:hAnsi="Arial" w:cs="Arial"/>
                <w:lang w:eastAsia="ar-SA"/>
              </w:rPr>
              <w:t>Cx</w:t>
            </w:r>
            <w:proofErr w:type="spellEnd"/>
            <w:r w:rsidRPr="00860ADB">
              <w:rPr>
                <w:rFonts w:ascii="Arial" w:eastAsia="Lucida Sans Unicode" w:hAnsi="Arial" w:cs="Arial"/>
                <w:lang w:eastAsia="ar-SA"/>
              </w:rPr>
              <w:t>)*</w:t>
            </w:r>
            <w:r>
              <w:rPr>
                <w:rFonts w:ascii="Arial" w:eastAsia="Lucida Sans Unicode" w:hAnsi="Arial" w:cs="Arial"/>
                <w:lang w:eastAsia="ar-SA"/>
              </w:rPr>
              <w:t>50</w:t>
            </w:r>
            <w:r w:rsidRPr="00860ADB">
              <w:rPr>
                <w:rFonts w:ascii="Arial" w:eastAsia="Lucida Sans Unicode" w:hAnsi="Arial" w:cs="Arial"/>
                <w:lang w:eastAsia="ar-SA"/>
              </w:rPr>
              <w:t>,</w:t>
            </w:r>
          </w:p>
          <w:p w14:paraId="22BDC959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gdzie: </w:t>
            </w:r>
            <w:proofErr w:type="spellStart"/>
            <w:r w:rsidRPr="00860ADB">
              <w:rPr>
                <w:rFonts w:ascii="Arial" w:eastAsia="Lucida Sans Unicode" w:hAnsi="Arial" w:cs="Arial"/>
                <w:lang w:eastAsia="ar-SA"/>
              </w:rPr>
              <w:t>Px</w:t>
            </w:r>
            <w:proofErr w:type="spellEnd"/>
            <w:r w:rsidRPr="00860ADB">
              <w:rPr>
                <w:rFonts w:ascii="Arial" w:eastAsia="Lucida Sans Unicode" w:hAnsi="Arial" w:cs="Arial"/>
                <w:lang w:eastAsia="ar-SA"/>
              </w:rPr>
              <w:t xml:space="preserve"> – liczba uzyskanych punktów; </w:t>
            </w:r>
            <w:proofErr w:type="spellStart"/>
            <w:r w:rsidRPr="00860ADB">
              <w:rPr>
                <w:rFonts w:ascii="Arial" w:eastAsia="Lucida Sans Unicode" w:hAnsi="Arial" w:cs="Arial"/>
                <w:lang w:eastAsia="ar-SA"/>
              </w:rPr>
              <w:t>Cmin</w:t>
            </w:r>
            <w:proofErr w:type="spellEnd"/>
            <w:r w:rsidRPr="00860ADB">
              <w:rPr>
                <w:rFonts w:ascii="Arial" w:eastAsia="Lucida Sans Unicode" w:hAnsi="Arial" w:cs="Arial"/>
                <w:lang w:eastAsia="ar-SA"/>
              </w:rPr>
              <w:t xml:space="preserve"> – najniższa wartość sumy kosztów branej pod uwagę wśród wszystkich ofert złożonych na realizację programu; </w:t>
            </w:r>
            <w:proofErr w:type="spellStart"/>
            <w:r w:rsidRPr="00860ADB">
              <w:rPr>
                <w:rFonts w:ascii="Arial" w:eastAsia="Lucida Sans Unicode" w:hAnsi="Arial" w:cs="Arial"/>
                <w:lang w:eastAsia="ar-SA"/>
              </w:rPr>
              <w:t>Cx</w:t>
            </w:r>
            <w:proofErr w:type="spellEnd"/>
            <w:r w:rsidRPr="00860ADB">
              <w:rPr>
                <w:rFonts w:ascii="Arial" w:eastAsia="Lucida Sans Unicode" w:hAnsi="Arial" w:cs="Arial"/>
                <w:lang w:eastAsia="ar-SA"/>
              </w:rPr>
              <w:t xml:space="preserve"> – wartość całkowitej sumy kosztów analizowanej oferty.</w:t>
            </w:r>
          </w:p>
        </w:tc>
      </w:tr>
      <w:tr w:rsidR="00A478F8" w:rsidRPr="00860ADB" w14:paraId="2147E260" w14:textId="77777777" w:rsidTr="0058721A">
        <w:tc>
          <w:tcPr>
            <w:tcW w:w="864" w:type="dxa"/>
          </w:tcPr>
          <w:p w14:paraId="2F0B0E18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6.</w:t>
            </w:r>
          </w:p>
        </w:tc>
        <w:tc>
          <w:tcPr>
            <w:tcW w:w="2721" w:type="dxa"/>
          </w:tcPr>
          <w:p w14:paraId="56287261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Poprawność i spójność kalkulacji kosztów </w:t>
            </w:r>
          </w:p>
        </w:tc>
        <w:tc>
          <w:tcPr>
            <w:tcW w:w="1256" w:type="dxa"/>
          </w:tcPr>
          <w:p w14:paraId="68B8CDE6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</w:t>
            </w:r>
            <w:r>
              <w:rPr>
                <w:rFonts w:ascii="Arial" w:eastAsia="Lucida Sans Unicode" w:hAnsi="Arial" w:cs="Arial"/>
                <w:lang w:eastAsia="ar-SA"/>
              </w:rPr>
              <w:t>5</w:t>
            </w:r>
          </w:p>
        </w:tc>
        <w:tc>
          <w:tcPr>
            <w:tcW w:w="4798" w:type="dxa"/>
          </w:tcPr>
          <w:p w14:paraId="14BFE885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  <w:tr w:rsidR="00A478F8" w:rsidRPr="00860ADB" w14:paraId="700E9A33" w14:textId="77777777" w:rsidTr="0058721A">
        <w:tc>
          <w:tcPr>
            <w:tcW w:w="864" w:type="dxa"/>
          </w:tcPr>
          <w:p w14:paraId="5DC44F38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7.</w:t>
            </w:r>
          </w:p>
        </w:tc>
        <w:tc>
          <w:tcPr>
            <w:tcW w:w="2721" w:type="dxa"/>
          </w:tcPr>
          <w:p w14:paraId="4F200916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Nagrody i certyfikaty potwierdzające jakość świadczonych usług </w:t>
            </w:r>
          </w:p>
        </w:tc>
        <w:tc>
          <w:tcPr>
            <w:tcW w:w="1256" w:type="dxa"/>
          </w:tcPr>
          <w:p w14:paraId="1B09607E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>0-</w:t>
            </w:r>
            <w:r>
              <w:rPr>
                <w:rFonts w:ascii="Arial" w:eastAsia="Lucida Sans Unicode" w:hAnsi="Arial" w:cs="Arial"/>
                <w:lang w:eastAsia="ar-SA"/>
              </w:rPr>
              <w:t>5</w:t>
            </w:r>
          </w:p>
        </w:tc>
        <w:tc>
          <w:tcPr>
            <w:tcW w:w="4798" w:type="dxa"/>
          </w:tcPr>
          <w:p w14:paraId="51C790E6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  <w:r w:rsidRPr="00860ADB">
              <w:rPr>
                <w:rFonts w:ascii="Arial" w:eastAsia="Lucida Sans Unicode" w:hAnsi="Arial" w:cs="Arial"/>
                <w:lang w:eastAsia="ar-SA"/>
              </w:rPr>
              <w:t xml:space="preserve">Do oferty należy załączyć nagrody/certyfikaty </w:t>
            </w:r>
          </w:p>
        </w:tc>
      </w:tr>
      <w:tr w:rsidR="00A478F8" w:rsidRPr="00860ADB" w14:paraId="3EA78AF7" w14:textId="77777777" w:rsidTr="0058721A">
        <w:trPr>
          <w:gridAfter w:val="1"/>
          <w:wAfter w:w="4798" w:type="dxa"/>
        </w:trPr>
        <w:tc>
          <w:tcPr>
            <w:tcW w:w="864" w:type="dxa"/>
          </w:tcPr>
          <w:p w14:paraId="7B3E7DC6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  <w:r w:rsidRPr="00860ADB">
              <w:rPr>
                <w:rFonts w:ascii="Arial" w:eastAsia="Lucida Sans Unicode" w:hAnsi="Arial" w:cs="Arial"/>
                <w:b/>
                <w:lang w:eastAsia="ar-SA"/>
              </w:rPr>
              <w:t>SUMA</w:t>
            </w:r>
          </w:p>
        </w:tc>
        <w:tc>
          <w:tcPr>
            <w:tcW w:w="2721" w:type="dxa"/>
          </w:tcPr>
          <w:p w14:paraId="276C20D3" w14:textId="77777777" w:rsidR="00A478F8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  <w:r w:rsidRPr="00860ADB">
              <w:rPr>
                <w:rFonts w:ascii="Arial" w:eastAsia="Lucida Sans Unicode" w:hAnsi="Arial" w:cs="Arial"/>
                <w:b/>
                <w:lang w:eastAsia="ar-SA"/>
              </w:rPr>
              <w:t>100</w:t>
            </w:r>
          </w:p>
          <w:p w14:paraId="7A33F6EC" w14:textId="77777777" w:rsidR="00A478F8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</w:p>
          <w:p w14:paraId="3694A562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1256" w:type="dxa"/>
          </w:tcPr>
          <w:p w14:paraId="7F997EEF" w14:textId="77777777" w:rsidR="00A478F8" w:rsidRPr="00860ADB" w:rsidRDefault="00A478F8" w:rsidP="0058721A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</w:tbl>
    <w:p w14:paraId="3C8AEE30" w14:textId="77777777" w:rsidR="00A478F8" w:rsidRDefault="00A478F8" w:rsidP="00A478F8">
      <w:pPr>
        <w:pStyle w:val="Teksttreci0"/>
        <w:rPr>
          <w:rStyle w:val="Nagwek1"/>
          <w:rFonts w:ascii="Arial" w:hAnsi="Arial" w:cs="Arial"/>
          <w:u w:val="none"/>
        </w:rPr>
      </w:pPr>
    </w:p>
    <w:p w14:paraId="38E073B7" w14:textId="77777777" w:rsidR="00A478F8" w:rsidRPr="0015523C" w:rsidRDefault="00A478F8" w:rsidP="00A478F8">
      <w:pPr>
        <w:pStyle w:val="Teksttreci0"/>
        <w:rPr>
          <w:rFonts w:ascii="Arial" w:hAnsi="Arial" w:cs="Arial"/>
        </w:rPr>
      </w:pPr>
      <w:r w:rsidRPr="0015523C">
        <w:rPr>
          <w:rStyle w:val="Nagwek1"/>
          <w:rFonts w:ascii="Arial" w:hAnsi="Arial" w:cs="Arial"/>
          <w:u w:val="none"/>
        </w:rPr>
        <w:t>Wybrana zostanie oferta, której wartość punktowa  będzie największa.</w:t>
      </w:r>
      <w:bookmarkEnd w:id="7"/>
    </w:p>
    <w:p w14:paraId="15C409E0" w14:textId="77777777" w:rsidR="00A478F8" w:rsidRPr="00B577F1" w:rsidRDefault="00A478F8" w:rsidP="00A478F8">
      <w:pPr>
        <w:pStyle w:val="Nagwek10"/>
        <w:keepNext/>
        <w:keepLines/>
        <w:spacing w:line="276" w:lineRule="auto"/>
        <w:rPr>
          <w:rFonts w:ascii="Arial" w:hAnsi="Arial" w:cs="Arial"/>
          <w:u w:val="none"/>
        </w:rPr>
      </w:pPr>
      <w:r w:rsidRPr="00B577F1">
        <w:rPr>
          <w:rFonts w:ascii="Arial" w:hAnsi="Arial" w:cs="Arial"/>
          <w:u w:val="none"/>
        </w:rPr>
        <w:t>§ 6</w:t>
      </w:r>
    </w:p>
    <w:p w14:paraId="1CBB9A6A" w14:textId="77777777" w:rsidR="00A478F8" w:rsidRPr="0015523C" w:rsidRDefault="00A478F8" w:rsidP="00A478F8">
      <w:pPr>
        <w:pStyle w:val="Teksttreci0"/>
        <w:numPr>
          <w:ilvl w:val="0"/>
          <w:numId w:val="10"/>
        </w:numPr>
        <w:tabs>
          <w:tab w:val="left" w:pos="334"/>
        </w:tabs>
        <w:spacing w:line="276" w:lineRule="auto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Członek Komisji podlega wyłączeniu z udziału w Komisji, gdy oferentem jest:</w:t>
      </w:r>
    </w:p>
    <w:p w14:paraId="641F8549" w14:textId="77777777" w:rsidR="00A478F8" w:rsidRPr="0015523C" w:rsidRDefault="00A478F8" w:rsidP="00A478F8">
      <w:pPr>
        <w:pStyle w:val="Teksttreci0"/>
        <w:numPr>
          <w:ilvl w:val="0"/>
          <w:numId w:val="11"/>
        </w:numPr>
        <w:tabs>
          <w:tab w:val="left" w:pos="663"/>
        </w:tabs>
        <w:spacing w:line="240" w:lineRule="auto"/>
        <w:ind w:firstLine="3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jego małżonek oraz krewny i powinowaty do drugiego stopnia;</w:t>
      </w:r>
    </w:p>
    <w:p w14:paraId="284924E0" w14:textId="77777777" w:rsidR="00A478F8" w:rsidRPr="0015523C" w:rsidRDefault="00A478F8" w:rsidP="00A478F8">
      <w:pPr>
        <w:pStyle w:val="Teksttreci0"/>
        <w:numPr>
          <w:ilvl w:val="0"/>
          <w:numId w:val="11"/>
        </w:numPr>
        <w:tabs>
          <w:tab w:val="left" w:pos="663"/>
        </w:tabs>
        <w:spacing w:line="240" w:lineRule="auto"/>
        <w:ind w:firstLine="3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osoba związana z nim z tytułu przysposobienia, opieki lub kurateli;</w:t>
      </w:r>
    </w:p>
    <w:p w14:paraId="191879AC" w14:textId="77777777" w:rsidR="00A478F8" w:rsidRPr="0015523C" w:rsidRDefault="00A478F8" w:rsidP="00A478F8">
      <w:pPr>
        <w:pStyle w:val="Teksttreci0"/>
        <w:numPr>
          <w:ilvl w:val="0"/>
          <w:numId w:val="11"/>
        </w:numPr>
        <w:tabs>
          <w:tab w:val="left" w:pos="649"/>
        </w:tabs>
        <w:spacing w:line="264" w:lineRule="auto"/>
        <w:ind w:left="560" w:hanging="26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osoba, której małżonek, krewny lub powinowaty do drugiego stopnia, albo osoba związana z nią z tytułu przysposobienia, opieki lub kurateli pozostaje wobec niego w stosunku </w:t>
      </w:r>
      <w:r w:rsidRPr="0015523C">
        <w:rPr>
          <w:rStyle w:val="Teksttreci"/>
          <w:rFonts w:ascii="Arial" w:hAnsi="Arial" w:cs="Arial"/>
        </w:rPr>
        <w:lastRenderedPageBreak/>
        <w:t>nadrzędności służbowej;</w:t>
      </w:r>
    </w:p>
    <w:p w14:paraId="5B007C39" w14:textId="77777777" w:rsidR="00A478F8" w:rsidRPr="0015523C" w:rsidRDefault="00A478F8" w:rsidP="00A478F8">
      <w:pPr>
        <w:pStyle w:val="Teksttreci0"/>
        <w:numPr>
          <w:ilvl w:val="0"/>
          <w:numId w:val="11"/>
        </w:numPr>
        <w:tabs>
          <w:tab w:val="left" w:pos="673"/>
        </w:tabs>
        <w:spacing w:line="264" w:lineRule="auto"/>
        <w:ind w:left="560" w:hanging="26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osoba pozostająca z nim w takim stosunku prawnym lub faktycznym, że może to budzić uzasadnione wątpliwości, co do bezstronności członka Komisji.</w:t>
      </w:r>
    </w:p>
    <w:p w14:paraId="3CAA6E26" w14:textId="77777777" w:rsidR="00A478F8" w:rsidRPr="0015523C" w:rsidRDefault="00A478F8" w:rsidP="00A478F8">
      <w:pPr>
        <w:pStyle w:val="Teksttreci0"/>
        <w:numPr>
          <w:ilvl w:val="0"/>
          <w:numId w:val="10"/>
        </w:numPr>
        <w:tabs>
          <w:tab w:val="left" w:pos="339"/>
        </w:tabs>
        <w:spacing w:after="220" w:line="276" w:lineRule="auto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Zamawiający w sytuacji, o której mowa w ust. 1 może powołać nowego członka Komisji.</w:t>
      </w:r>
    </w:p>
    <w:p w14:paraId="715080AB" w14:textId="77777777" w:rsidR="00A478F8" w:rsidRPr="00B577F1" w:rsidRDefault="00A478F8" w:rsidP="00A478F8">
      <w:pPr>
        <w:pStyle w:val="Nagwek10"/>
        <w:keepNext/>
        <w:keepLines/>
        <w:spacing w:line="276" w:lineRule="auto"/>
        <w:rPr>
          <w:rFonts w:ascii="Arial" w:hAnsi="Arial" w:cs="Arial"/>
          <w:u w:val="none"/>
        </w:rPr>
      </w:pPr>
      <w:bookmarkStart w:id="8" w:name="bookmark27"/>
      <w:bookmarkEnd w:id="8"/>
      <w:r w:rsidRPr="00B577F1">
        <w:rPr>
          <w:rFonts w:ascii="Arial" w:hAnsi="Arial" w:cs="Arial"/>
          <w:u w:val="none"/>
        </w:rPr>
        <w:t>§ 7</w:t>
      </w:r>
    </w:p>
    <w:p w14:paraId="38650A4C" w14:textId="77777777" w:rsidR="00A478F8" w:rsidRPr="0015523C" w:rsidRDefault="00A478F8" w:rsidP="00A478F8">
      <w:pPr>
        <w:pStyle w:val="Teksttreci0"/>
        <w:numPr>
          <w:ilvl w:val="0"/>
          <w:numId w:val="12"/>
        </w:numPr>
        <w:tabs>
          <w:tab w:val="left" w:pos="334"/>
        </w:tabs>
        <w:ind w:left="380" w:hanging="38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Jeżeli postępowanie konkursowe nie doprowadziło do wyłonienia najkorzystniejszej oferty, Komisja przedstawia </w:t>
      </w:r>
      <w:r>
        <w:rPr>
          <w:rStyle w:val="Teksttreci"/>
          <w:rFonts w:ascii="Arial" w:hAnsi="Arial" w:cs="Arial"/>
        </w:rPr>
        <w:t>Burmistrzowi</w:t>
      </w:r>
      <w:r w:rsidRPr="0015523C">
        <w:rPr>
          <w:rStyle w:val="Teksttreci"/>
          <w:rFonts w:ascii="Arial" w:hAnsi="Arial" w:cs="Arial"/>
        </w:rPr>
        <w:t xml:space="preserve"> wniosek o zamknięcie konkursu w całości bądź w części.</w:t>
      </w:r>
    </w:p>
    <w:p w14:paraId="1748C7EC" w14:textId="77777777" w:rsidR="00A478F8" w:rsidRPr="0015523C" w:rsidRDefault="00A478F8" w:rsidP="00A478F8">
      <w:pPr>
        <w:pStyle w:val="Teksttreci0"/>
        <w:numPr>
          <w:ilvl w:val="0"/>
          <w:numId w:val="12"/>
        </w:numPr>
        <w:tabs>
          <w:tab w:val="left" w:pos="339"/>
        </w:tabs>
        <w:spacing w:line="276" w:lineRule="auto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W razie oddalenia przez Komisję wszystkich ofert Zamawiający może ogłosić nowy konkurs ofert.</w:t>
      </w:r>
    </w:p>
    <w:p w14:paraId="5E2A790E" w14:textId="77777777" w:rsidR="00A478F8" w:rsidRPr="0015523C" w:rsidRDefault="00A478F8" w:rsidP="00A478F8">
      <w:pPr>
        <w:pStyle w:val="Teksttreci0"/>
        <w:numPr>
          <w:ilvl w:val="0"/>
          <w:numId w:val="12"/>
        </w:numPr>
        <w:tabs>
          <w:tab w:val="left" w:pos="344"/>
        </w:tabs>
        <w:spacing w:after="220" w:line="276" w:lineRule="auto"/>
        <w:ind w:left="380" w:hanging="38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Jeżeli wpłynęła tylko jedna oferta, Zamawiający może przyjąć tę ofertę bez obliczania wartości punktowej oferty, pod warunkiem, że Komisja stwierdzi, że spełnia ona warunki określone w ogłoszeniu oraz szczegółowych warunkach konkursu.</w:t>
      </w:r>
    </w:p>
    <w:p w14:paraId="1E730380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9"/>
        </w:numPr>
        <w:spacing w:line="276" w:lineRule="auto"/>
        <w:rPr>
          <w:rFonts w:ascii="Arial" w:hAnsi="Arial" w:cs="Arial"/>
        </w:rPr>
      </w:pPr>
      <w:bookmarkStart w:id="9" w:name="bookmark29"/>
      <w:bookmarkEnd w:id="9"/>
    </w:p>
    <w:p w14:paraId="3D5A112E" w14:textId="77777777" w:rsidR="00A478F8" w:rsidRPr="0015523C" w:rsidRDefault="00A478F8" w:rsidP="00A478F8">
      <w:pPr>
        <w:pStyle w:val="Teksttreci0"/>
        <w:spacing w:after="60" w:line="276" w:lineRule="auto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Z posiedzenia Komisji sporządza się protokół końcowy, który powinien zawierać następujące elementy:</w:t>
      </w:r>
    </w:p>
    <w:p w14:paraId="4351D6B8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2"/>
        </w:tabs>
        <w:spacing w:after="60" w:line="276" w:lineRule="auto"/>
        <w:ind w:firstLine="18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oznaczenie miejsca i czasu konkursu;</w:t>
      </w:r>
    </w:p>
    <w:p w14:paraId="35A735D9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2"/>
        </w:tabs>
        <w:spacing w:after="60" w:line="276" w:lineRule="auto"/>
        <w:ind w:firstLine="18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imiona i nazwiska członków Komisji;</w:t>
      </w:r>
    </w:p>
    <w:p w14:paraId="6AC999F9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2"/>
        </w:tabs>
        <w:spacing w:after="60" w:line="276" w:lineRule="auto"/>
        <w:ind w:firstLine="18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liczbę zgłoszonych ofert;</w:t>
      </w:r>
    </w:p>
    <w:p w14:paraId="5324E4FC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2"/>
        </w:tabs>
        <w:spacing w:after="60" w:line="276" w:lineRule="auto"/>
        <w:ind w:firstLine="18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wskazanie ważnych ofert;</w:t>
      </w:r>
    </w:p>
    <w:p w14:paraId="49717761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2"/>
        </w:tabs>
        <w:spacing w:after="60" w:line="276" w:lineRule="auto"/>
        <w:ind w:firstLine="18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wskazanie odrzuconych ofert, z podaniem przyczyn ich odrzucenia;</w:t>
      </w:r>
    </w:p>
    <w:p w14:paraId="20FDAA4B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2"/>
        </w:tabs>
        <w:spacing w:after="60" w:line="276" w:lineRule="auto"/>
        <w:ind w:firstLine="180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ewentualne wyjaśnienia i oświadczenia oferentów;</w:t>
      </w:r>
    </w:p>
    <w:p w14:paraId="3E7AC1DC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5"/>
        </w:tabs>
        <w:ind w:left="560" w:hanging="36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wskazanie najkorzystniejszej oferty albo stwierdzenie wraz z uzasadnieniem, że żadna ze złożonych ofert nie została przyjęta;</w:t>
      </w:r>
    </w:p>
    <w:p w14:paraId="066BDAC2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8"/>
        </w:tabs>
        <w:spacing w:after="100" w:line="240" w:lineRule="auto"/>
        <w:ind w:firstLine="2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ewentualne odrębne stanowisko członka Komisji;</w:t>
      </w:r>
    </w:p>
    <w:p w14:paraId="72B4030A" w14:textId="77777777" w:rsidR="00A478F8" w:rsidRPr="0015523C" w:rsidRDefault="00A478F8" w:rsidP="00A478F8">
      <w:pPr>
        <w:pStyle w:val="Teksttreci0"/>
        <w:numPr>
          <w:ilvl w:val="0"/>
          <w:numId w:val="13"/>
        </w:numPr>
        <w:tabs>
          <w:tab w:val="left" w:pos="558"/>
        </w:tabs>
        <w:spacing w:after="260" w:line="240" w:lineRule="auto"/>
        <w:ind w:firstLine="2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podpisy wszystkich członków Komisji.</w:t>
      </w:r>
    </w:p>
    <w:p w14:paraId="7EE58A2B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14"/>
        </w:numPr>
        <w:spacing w:after="100"/>
        <w:rPr>
          <w:rFonts w:ascii="Arial" w:hAnsi="Arial" w:cs="Arial"/>
        </w:rPr>
      </w:pPr>
      <w:bookmarkStart w:id="10" w:name="bookmark31"/>
      <w:bookmarkEnd w:id="10"/>
    </w:p>
    <w:p w14:paraId="46F2976B" w14:textId="77777777" w:rsidR="00A478F8" w:rsidRPr="00151A58" w:rsidRDefault="00A478F8" w:rsidP="00A478F8">
      <w:pPr>
        <w:pStyle w:val="Teksttreci0"/>
        <w:numPr>
          <w:ilvl w:val="0"/>
          <w:numId w:val="15"/>
        </w:numPr>
        <w:spacing w:after="100"/>
        <w:jc w:val="both"/>
        <w:rPr>
          <w:rFonts w:ascii="Arial" w:hAnsi="Arial" w:cs="Arial"/>
        </w:rPr>
      </w:pPr>
      <w:r w:rsidRPr="00151A58">
        <w:rPr>
          <w:rStyle w:val="Teksttreci"/>
          <w:rFonts w:ascii="Arial" w:hAnsi="Arial" w:cs="Arial"/>
        </w:rPr>
        <w:t>Przewodnicząc</w:t>
      </w:r>
      <w:r>
        <w:rPr>
          <w:rStyle w:val="Teksttreci"/>
          <w:rFonts w:ascii="Arial" w:hAnsi="Arial" w:cs="Arial"/>
        </w:rPr>
        <w:t>y</w:t>
      </w:r>
      <w:r w:rsidRPr="00151A58">
        <w:rPr>
          <w:rStyle w:val="Teksttreci"/>
          <w:rFonts w:ascii="Arial" w:hAnsi="Arial" w:cs="Arial"/>
        </w:rPr>
        <w:t xml:space="preserve"> Komisji Konkursowej, składa Burmistrzowi Gminy i Miasta Nowe Skalmierzyce wniosek zawierający</w:t>
      </w:r>
      <w:r>
        <w:rPr>
          <w:rStyle w:val="Teksttreci"/>
          <w:rFonts w:ascii="Arial" w:hAnsi="Arial" w:cs="Arial"/>
        </w:rPr>
        <w:t xml:space="preserve"> </w:t>
      </w:r>
      <w:r w:rsidRPr="00151A58">
        <w:rPr>
          <w:rStyle w:val="Teksttreci"/>
          <w:rFonts w:ascii="Arial" w:hAnsi="Arial" w:cs="Arial"/>
        </w:rPr>
        <w:t>rekomendację Komisji Konkursowej dot. wyboru realizatora Programu.</w:t>
      </w:r>
    </w:p>
    <w:p w14:paraId="63A7D131" w14:textId="77777777" w:rsidR="00A478F8" w:rsidRPr="0015523C" w:rsidRDefault="00A478F8" w:rsidP="00A478F8">
      <w:pPr>
        <w:pStyle w:val="Teksttreci0"/>
        <w:numPr>
          <w:ilvl w:val="0"/>
          <w:numId w:val="15"/>
        </w:numPr>
        <w:spacing w:after="100"/>
        <w:rPr>
          <w:rFonts w:ascii="Arial" w:hAnsi="Arial" w:cs="Arial"/>
        </w:rPr>
      </w:pPr>
      <w:r>
        <w:rPr>
          <w:rStyle w:val="Teksttreci"/>
          <w:rFonts w:ascii="Arial" w:hAnsi="Arial" w:cs="Arial"/>
        </w:rPr>
        <w:t>Burmistrz Gminy i Miasta Nowe Skalmierzyce</w:t>
      </w:r>
      <w:r w:rsidRPr="0015523C">
        <w:rPr>
          <w:rStyle w:val="Teksttreci"/>
          <w:rFonts w:ascii="Arial" w:hAnsi="Arial" w:cs="Arial"/>
        </w:rPr>
        <w:t xml:space="preserve"> zatwierdza wybór realizatora Programu w drodze </w:t>
      </w:r>
      <w:r>
        <w:rPr>
          <w:rStyle w:val="Teksttreci"/>
          <w:rFonts w:ascii="Arial" w:hAnsi="Arial" w:cs="Arial"/>
        </w:rPr>
        <w:t>zarządzenia.</w:t>
      </w:r>
    </w:p>
    <w:p w14:paraId="38111F2A" w14:textId="77777777" w:rsidR="00A478F8" w:rsidRPr="0015523C" w:rsidRDefault="00A478F8" w:rsidP="00A478F8">
      <w:pPr>
        <w:pStyle w:val="Teksttreci0"/>
        <w:numPr>
          <w:ilvl w:val="0"/>
          <w:numId w:val="15"/>
        </w:numPr>
        <w:spacing w:after="26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 xml:space="preserve">Zamawiający niezwłocznie zawiadamia oferentów o zakończeniu konkursu i jego wynikach na piśmie oraz zamieszcza taką informację w Biuletynie Informacji Publicznej </w:t>
      </w:r>
      <w:r>
        <w:rPr>
          <w:rStyle w:val="Teksttreci"/>
          <w:rFonts w:ascii="Arial" w:hAnsi="Arial" w:cs="Arial"/>
        </w:rPr>
        <w:t>Gminy i Miasta Nowe Skalmierzyce.</w:t>
      </w:r>
    </w:p>
    <w:p w14:paraId="03E56A59" w14:textId="77777777" w:rsidR="00A478F8" w:rsidRPr="0015523C" w:rsidRDefault="00A478F8" w:rsidP="00A478F8">
      <w:pPr>
        <w:pStyle w:val="Nagwek10"/>
        <w:keepNext/>
        <w:keepLines/>
        <w:numPr>
          <w:ilvl w:val="0"/>
          <w:numId w:val="14"/>
        </w:numPr>
        <w:spacing w:after="100"/>
        <w:rPr>
          <w:rFonts w:ascii="Arial" w:hAnsi="Arial" w:cs="Arial"/>
        </w:rPr>
      </w:pPr>
      <w:bookmarkStart w:id="11" w:name="bookmark33"/>
      <w:bookmarkEnd w:id="11"/>
    </w:p>
    <w:p w14:paraId="132D94E1" w14:textId="77777777" w:rsidR="00A478F8" w:rsidRPr="0015523C" w:rsidRDefault="00A478F8" w:rsidP="00A478F8">
      <w:pPr>
        <w:pStyle w:val="Teksttreci0"/>
        <w:spacing w:after="100"/>
        <w:jc w:val="both"/>
        <w:rPr>
          <w:rFonts w:ascii="Arial" w:hAnsi="Arial" w:cs="Arial"/>
        </w:rPr>
      </w:pPr>
      <w:r w:rsidRPr="0015523C">
        <w:rPr>
          <w:rStyle w:val="Teksttreci"/>
          <w:rFonts w:ascii="Arial" w:hAnsi="Arial" w:cs="Arial"/>
        </w:rPr>
        <w:t>W sytuacjach nieuregulowanych niniejszym regulaminem zastosowanie mają odpowiednio przepisy Kodeksu cywilnego.</w:t>
      </w:r>
    </w:p>
    <w:p w14:paraId="3948EF90" w14:textId="4DCFF9B9" w:rsidR="00901259" w:rsidRPr="0015523C" w:rsidRDefault="00901259" w:rsidP="00A478F8">
      <w:pPr>
        <w:pStyle w:val="Nagwek10"/>
        <w:keepNext/>
        <w:keepLines/>
        <w:spacing w:after="240"/>
        <w:rPr>
          <w:rFonts w:ascii="Arial" w:hAnsi="Arial" w:cs="Arial"/>
        </w:rPr>
      </w:pPr>
    </w:p>
    <w:sectPr w:rsidR="00901259" w:rsidRPr="0015523C">
      <w:footerReference w:type="default" r:id="rId7"/>
      <w:pgSz w:w="11900" w:h="16840"/>
      <w:pgMar w:top="878" w:right="1282" w:bottom="1020" w:left="1364" w:header="45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CBE2" w14:textId="77777777" w:rsidR="007864B3" w:rsidRDefault="007864B3">
      <w:r>
        <w:separator/>
      </w:r>
    </w:p>
  </w:endnote>
  <w:endnote w:type="continuationSeparator" w:id="0">
    <w:p w14:paraId="52CF0958" w14:textId="77777777" w:rsidR="007864B3" w:rsidRDefault="0078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0D5A" w14:textId="77777777" w:rsidR="0090125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5FB7F2" wp14:editId="63208366">
              <wp:simplePos x="0" y="0"/>
              <wp:positionH relativeFrom="page">
                <wp:posOffset>3743325</wp:posOffset>
              </wp:positionH>
              <wp:positionV relativeFrom="page">
                <wp:posOffset>10108565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DBAA4" w14:textId="77777777" w:rsidR="00901259" w:rsidRDefault="00000000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FB7F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75pt;margin-top:795.9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OB1zQHfAAAADQEAAA8AAABkcnMvZG93bnJl&#10;di54bWxMj8tOwzAQRfdI/IM1SOyo00pukxCnQpXYsKOgSuzceBpH+BHZbpr8PcMKljP36M6ZZj87&#10;yyaMaQhewnpVAEPfBT34XsLnx+tTCSxl5bWywaOEBRPs2/u7RtU63Pw7TsfcMyrxqVYSTM5jzXnq&#10;DDqVVmFET9klRKcyjbHnOqoblTvLN0Wx5U4Nni4YNeLBYPd9vDoJu/kUcEx4wK/L1EUzLKV9W6R8&#10;fJhfnoFlnPMfDL/6pA4tOZ3D1evErARRVoJQCkS1roARIiqxA3am1bYoN8Dbhv//ov0B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4HXNAd8AAAANAQAADwAAAAAAAAAAAAAAAADaAwAA&#10;ZHJzL2Rvd25yZXYueG1sUEsFBgAAAAAEAAQA8wAAAOYEAAAAAA==&#10;" filled="f" stroked="f">
              <v:textbox style="mso-fit-shape-to-text:t" inset="0,0,0,0">
                <w:txbxContent>
                  <w:p w14:paraId="715DBAA4" w14:textId="77777777" w:rsidR="00901259" w:rsidRDefault="00000000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A42" w14:textId="77777777" w:rsidR="007864B3" w:rsidRDefault="007864B3"/>
  </w:footnote>
  <w:footnote w:type="continuationSeparator" w:id="0">
    <w:p w14:paraId="601BDA63" w14:textId="77777777" w:rsidR="007864B3" w:rsidRDefault="007864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587"/>
    <w:multiLevelType w:val="multilevel"/>
    <w:tmpl w:val="D2EEA6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808EA"/>
    <w:multiLevelType w:val="hybridMultilevel"/>
    <w:tmpl w:val="1D689E82"/>
    <w:lvl w:ilvl="0" w:tplc="2CD2DF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17F2B"/>
    <w:multiLevelType w:val="multilevel"/>
    <w:tmpl w:val="E73EE2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11BAE"/>
    <w:multiLevelType w:val="multilevel"/>
    <w:tmpl w:val="3BA216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63441"/>
    <w:multiLevelType w:val="multilevel"/>
    <w:tmpl w:val="A8AE9D64"/>
    <w:lvl w:ilvl="0">
      <w:start w:val="7"/>
      <w:numFmt w:val="decimal"/>
      <w:lvlText w:val="§ 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5E2D77"/>
    <w:multiLevelType w:val="multilevel"/>
    <w:tmpl w:val="B84A95D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6363B"/>
    <w:multiLevelType w:val="multilevel"/>
    <w:tmpl w:val="76FC13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E70257"/>
    <w:multiLevelType w:val="multilevel"/>
    <w:tmpl w:val="D3945B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FD133D"/>
    <w:multiLevelType w:val="multilevel"/>
    <w:tmpl w:val="754E8F9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CA1661"/>
    <w:multiLevelType w:val="multilevel"/>
    <w:tmpl w:val="B4CA278E"/>
    <w:lvl w:ilvl="0">
      <w:start w:val="1"/>
      <w:numFmt w:val="decimal"/>
      <w:lvlText w:val="§ 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E93DDF"/>
    <w:multiLevelType w:val="multilevel"/>
    <w:tmpl w:val="AF865A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29727D"/>
    <w:multiLevelType w:val="multilevel"/>
    <w:tmpl w:val="05CA66B2"/>
    <w:lvl w:ilvl="0">
      <w:start w:val="10"/>
      <w:numFmt w:val="decimal"/>
      <w:lvlText w:val="§ 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F3352C"/>
    <w:multiLevelType w:val="multilevel"/>
    <w:tmpl w:val="20F23F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AB51AF"/>
    <w:multiLevelType w:val="multilevel"/>
    <w:tmpl w:val="C9E868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437AF"/>
    <w:multiLevelType w:val="multilevel"/>
    <w:tmpl w:val="05223D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4B72FA"/>
    <w:multiLevelType w:val="multilevel"/>
    <w:tmpl w:val="701A12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7837452">
    <w:abstractNumId w:val="9"/>
  </w:num>
  <w:num w:numId="2" w16cid:durableId="930239825">
    <w:abstractNumId w:val="3"/>
  </w:num>
  <w:num w:numId="3" w16cid:durableId="396171205">
    <w:abstractNumId w:val="14"/>
  </w:num>
  <w:num w:numId="4" w16cid:durableId="772941788">
    <w:abstractNumId w:val="0"/>
  </w:num>
  <w:num w:numId="5" w16cid:durableId="781455208">
    <w:abstractNumId w:val="10"/>
  </w:num>
  <w:num w:numId="6" w16cid:durableId="526606401">
    <w:abstractNumId w:val="8"/>
  </w:num>
  <w:num w:numId="7" w16cid:durableId="230317189">
    <w:abstractNumId w:val="2"/>
  </w:num>
  <w:num w:numId="8" w16cid:durableId="1426152153">
    <w:abstractNumId w:val="5"/>
  </w:num>
  <w:num w:numId="9" w16cid:durableId="362561610">
    <w:abstractNumId w:val="4"/>
  </w:num>
  <w:num w:numId="10" w16cid:durableId="1786075866">
    <w:abstractNumId w:val="12"/>
  </w:num>
  <w:num w:numId="11" w16cid:durableId="704791361">
    <w:abstractNumId w:val="6"/>
  </w:num>
  <w:num w:numId="12" w16cid:durableId="1578128961">
    <w:abstractNumId w:val="15"/>
  </w:num>
  <w:num w:numId="13" w16cid:durableId="1545211920">
    <w:abstractNumId w:val="13"/>
  </w:num>
  <w:num w:numId="14" w16cid:durableId="1479684872">
    <w:abstractNumId w:val="11"/>
  </w:num>
  <w:num w:numId="15" w16cid:durableId="1868104231">
    <w:abstractNumId w:val="7"/>
  </w:num>
  <w:num w:numId="16" w16cid:durableId="6804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59"/>
    <w:rsid w:val="000A342E"/>
    <w:rsid w:val="00143DAC"/>
    <w:rsid w:val="00151A58"/>
    <w:rsid w:val="0015523C"/>
    <w:rsid w:val="00473582"/>
    <w:rsid w:val="00490D2A"/>
    <w:rsid w:val="00614B7C"/>
    <w:rsid w:val="00680CF6"/>
    <w:rsid w:val="00686B3E"/>
    <w:rsid w:val="007864B3"/>
    <w:rsid w:val="008F6AC4"/>
    <w:rsid w:val="00901259"/>
    <w:rsid w:val="00971D5C"/>
    <w:rsid w:val="0098725E"/>
    <w:rsid w:val="009B6AD1"/>
    <w:rsid w:val="00A449E3"/>
    <w:rsid w:val="00A478F8"/>
    <w:rsid w:val="00A96475"/>
    <w:rsid w:val="00AA511F"/>
    <w:rsid w:val="00CA4E6F"/>
    <w:rsid w:val="00CC7AD4"/>
    <w:rsid w:val="00DB7047"/>
    <w:rsid w:val="00DD65D1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9F58"/>
  <w15:docId w15:val="{A4D4B896-1C33-45A1-87A3-3C831258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20" w:line="271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pPr>
      <w:spacing w:after="60" w:line="223" w:lineRule="auto"/>
      <w:ind w:left="1280"/>
    </w:pPr>
    <w:rPr>
      <w:rFonts w:ascii="Calibri" w:eastAsia="Calibri" w:hAnsi="Calibri" w:cs="Calibri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15523C"/>
    <w:pPr>
      <w:widowControl/>
      <w:tabs>
        <w:tab w:val="center" w:pos="4536"/>
        <w:tab w:val="right" w:pos="9072"/>
      </w:tabs>
    </w:pPr>
    <w:rPr>
      <w:rFonts w:ascii="Arial" w:eastAsiaTheme="minorHAnsi" w:hAnsi="Arial" w:cstheme="minorBidi"/>
      <w:color w:val="auto"/>
      <w:kern w:val="2"/>
      <w:sz w:val="22"/>
      <w:szCs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5523C"/>
    <w:rPr>
      <w:rFonts w:ascii="Arial" w:eastAsiaTheme="minorHAnsi" w:hAnsi="Arial" w:cstheme="minorBidi"/>
      <w:kern w:val="2"/>
      <w:sz w:val="22"/>
      <w:szCs w:val="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5523C"/>
    <w:pPr>
      <w:widowControl/>
      <w:tabs>
        <w:tab w:val="center" w:pos="4536"/>
        <w:tab w:val="right" w:pos="9072"/>
      </w:tabs>
    </w:pPr>
    <w:rPr>
      <w:rFonts w:ascii="Arial" w:eastAsiaTheme="minorHAnsi" w:hAnsi="Arial" w:cstheme="minorBidi"/>
      <w:color w:val="auto"/>
      <w:kern w:val="2"/>
      <w:sz w:val="22"/>
      <w:szCs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5523C"/>
    <w:rPr>
      <w:rFonts w:ascii="Arial" w:eastAsiaTheme="minorHAnsi" w:hAnsi="Arial" w:cstheme="minorBidi"/>
      <w:kern w:val="2"/>
      <w:sz w:val="22"/>
      <w:szCs w:val="2"/>
      <w:lang w:eastAsia="en-US"/>
      <w14:ligatures w14:val="standardContextual"/>
    </w:rPr>
  </w:style>
  <w:style w:type="character" w:customStyle="1" w:styleId="Teksttreci3">
    <w:name w:val="Tekst treści (3)_"/>
    <w:basedOn w:val="Domylnaczcionkaakapitu"/>
    <w:link w:val="Teksttreci30"/>
    <w:rsid w:val="0015523C"/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15523C"/>
    <w:pPr>
      <w:spacing w:line="353" w:lineRule="auto"/>
      <w:jc w:val="center"/>
    </w:pPr>
    <w:rPr>
      <w:rFonts w:ascii="Calibri" w:eastAsia="Calibri" w:hAnsi="Calibri" w:cs="Calibri"/>
      <w:b/>
      <w:bCs/>
      <w:i/>
      <w:iCs/>
      <w:color w:val="auto"/>
      <w:sz w:val="28"/>
      <w:szCs w:val="28"/>
    </w:rPr>
  </w:style>
  <w:style w:type="table" w:styleId="Tabela-Siatka">
    <w:name w:val="Table Grid"/>
    <w:basedOn w:val="Standardowy"/>
    <w:uiPriority w:val="39"/>
    <w:rsid w:val="00CC7AD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Sobkowiak</dc:creator>
  <cp:keywords/>
  <cp:lastModifiedBy>Natalia Stempin</cp:lastModifiedBy>
  <cp:revision>2</cp:revision>
  <cp:lastPrinted>2026-01-22T13:15:00Z</cp:lastPrinted>
  <dcterms:created xsi:type="dcterms:W3CDTF">2026-01-23T10:00:00Z</dcterms:created>
  <dcterms:modified xsi:type="dcterms:W3CDTF">2026-01-23T10:00:00Z</dcterms:modified>
</cp:coreProperties>
</file>